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48"/>
    <w:p>
      <w:pPr>
        <w:pStyle w:val="Heading1"/>
      </w:pPr>
      <w:r>
        <w:t xml:space="preserve">Homiletics Analysis: Isaiah 48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48 is a complex, rhetorically dense address by the LORD to the house of Jacob (v. 1) that weaves together three interlocking arguments: a demonstration of divine sovereignty through fulfilled prediction (vv. 1–11), a declaration of Cyrus-enabled deliverance from Babylon (vv. 12–16), and an urgent, grieving summons to obedience and departure (vv. 17–22). The chapter functions as a culminating address within the first movement of Deutero-Isaiah (chapters 40–48), closing that movement before the Servant Songs of chapters 49–55 open a new horizon. Throughout, the LORD presses Israel not merely with facts about Himself but with a case — the evidence of prior prophecy fulfilled, the testimony of new things declared before they occur, and the indictment that Israel’s resistance is not ignorance but stubbornness. The passage’s emotional register is notable: the LORD alternates between judicial prosecution (</w:t>
      </w:r>
      <w:r>
        <w:t xml:space="preserve">“you have heard; look at all this”</w:t>
      </w:r>
      <w:r>
        <w:t xml:space="preserve"> </w:t>
      </w:r>
      <w:r>
        <w:t xml:space="preserve">v. 6), tender lament (</w:t>
      </w:r>
      <w:r>
        <w:t xml:space="preserve">“Oh that you had paid attention to my commandments!”</w:t>
      </w:r>
      <w:r>
        <w:t xml:space="preserve"> </w:t>
      </w:r>
      <w:r>
        <w:t xml:space="preserve">v. 18), and urgent imperative (</w:t>
      </w:r>
      <w:r>
        <w:t xml:space="preserve">“Go out from Babylon!”</w:t>
      </w:r>
      <w:r>
        <w:t xml:space="preserve"> </w:t>
      </w:r>
      <w:r>
        <w:t xml:space="preserve">v. 20).</w:t>
      </w:r>
    </w:p>
    <w:p>
      <w:pPr>
        <w:pStyle w:val="BodyText"/>
      </w:pPr>
      <w:r>
        <w:rPr>
          <w:b/>
          <w:bCs/>
        </w:rPr>
        <w:t xml:space="preserve">This Text — Intent</w:t>
      </w:r>
    </w:p>
    <w:p>
      <w:pPr>
        <w:pStyle w:val="BodyText"/>
      </w:pPr>
      <w:r>
        <w:t xml:space="preserve">God is seeking to accomplish a radical reorientation of trust in a people whose worship of Him has become nominal, whose loyalty to His word has become shallow, and who are spiritually positioned to receive the coming deliverance without actually being transformed by it. The prediction-and-fulfillment argument is not primarily an apologetic device — it is an instrument of conviction. The LORD is pressing Israel toward genuine, responsive trust in His word, toward recognizing that their obedience would have produced the flourishing they are now being promised as pure grace, and toward understanding that the coming deliverance from Babylon is not a reward for their faithfulness but a rescue of the faithless for His own name’s sake. The intent is not merely to inform but to break through hardened hearing and produce genuine, responsive trust — the kind of trust that results in actual departure from Babylon, both geographic and spiritual.</w:t>
      </w:r>
    </w:p>
    <w:p>
      <w:r>
        <w:pict>
          <v:rect style="width:0;height:1.5pt" o:hralign="center" o:hrstd="t" o:hr="t"/>
        </w:pict>
      </w:r>
    </w:p>
    <w:p>
      <w:pPr>
        <w:pStyle w:val="FirstParagraph"/>
      </w:pPr>
      <w:r>
        <w:rPr>
          <w:b/>
          <w:bCs/>
        </w:rPr>
        <w:t xml:space="preserve">Subject Sentence:</w:t>
      </w:r>
      <w:r>
        <w:t xml:space="preserve"> </w:t>
      </w:r>
      <w:r>
        <w:t xml:space="preserve">The LORD prosecutes His deaf, stubborn people to break through and produce genuine trust — then announces their undeserved deliverance.</w:t>
      </w:r>
    </w:p>
    <w:p>
      <w:r>
        <w:pict>
          <v:rect style="width:0;height:1.5pt" o:hralign="center" o:hrstd="t" o:hr="t"/>
        </w:pict>
      </w:r>
    </w:p>
    <w:p>
      <w:pPr>
        <w:pStyle w:val="FirstParagraph"/>
      </w:pPr>
      <w:r>
        <w:rPr>
          <w:b/>
          <w:bCs/>
        </w:rPr>
        <w:t xml:space="preserve">Primary Claim:</w:t>
      </w:r>
      <w:r>
        <w:t xml:space="preserve"> </w:t>
      </w:r>
      <w:r>
        <w:t xml:space="preserve">God sovereignly exposes the gap between Israel’s nominal profession and genuine trust, then rescues them not because they deserve it but to vindicate His own name — calling them to receive this grace by actually leaving Babylon behind.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function of the prediction-fulfillment argument (vv. 1–11)</w:t>
      </w:r>
    </w:p>
    <w:p>
      <w:pPr>
        <w:pStyle w:val="BodyText"/>
      </w:pPr>
      <w:r>
        <w:t xml:space="preserve">The central hermeneutical question in the opening section is: what is the LORD’s argument doing? A surface reading might suggest this is primarily an apologetic against idolatry — God proves His superiority to the gods of Babylon by demonstrating predictive accuracy. This reading has merit and should be acknowledged: there is a genuine anti-idol polemic throughout Isaiah 40–48 (cf. 44:6–20; 46:1–7), and the prediction-fulfillment argument does function to demonstrate the LORD’s uniqueness. However, this reading underweights the passage’s primary target: Israel, not Babylon. The LORD is not arguing against Babylonian religion here — He is indicting Israel’s obstinacy. The prosecution (</w:t>
      </w:r>
      <w:r>
        <w:t xml:space="preserve">“you have heard; look at all this — and will you not declare it?”</w:t>
      </w:r>
      <w:r>
        <w:t xml:space="preserve"> </w:t>
      </w:r>
      <w:r>
        <w:t xml:space="preserve">v. 6) is directed inward, at a people who have heard the prophecies, witnessed their fulfillment, and remained unmoved. The Reformed reading, which best accounts for the whole text, understands the apologetic as secondary and the covenantal indictment as primary — God is exposing the hardness of Israel’s heart, not simply demonstrating His credentials.</w:t>
      </w:r>
    </w:p>
    <w:p>
      <w:pPr>
        <w:pStyle w:val="BodyText"/>
      </w:pPr>
      <w:r>
        <w:rPr>
          <w:b/>
          <w:bCs/>
        </w:rPr>
        <w:t xml:space="preserve">The identity of the speaker in verse 16b</w:t>
      </w:r>
    </w:p>
    <w:p>
      <w:pPr>
        <w:pStyle w:val="BodyText"/>
      </w:pPr>
      <w:r>
        <w:t xml:space="preserve">Verse 16b presents a sudden, unexplained first-person intrusion:</w:t>
      </w:r>
      <w:r>
        <w:t xml:space="preserve"> </w:t>
      </w:r>
      <w:r>
        <w:t xml:space="preserve">“And now the Lord GOD has sent me, and his Spirit.”</w:t>
      </w:r>
      <w:r>
        <w:t xml:space="preserve"> </w:t>
      </w:r>
      <w:r>
        <w:t xml:space="preserve">This is one of Isaiah’s most debated textual moments. Three readings require engagement:</w:t>
      </w:r>
    </w:p>
    <w:p>
      <w:pPr>
        <w:numPr>
          <w:ilvl w:val="0"/>
          <w:numId w:val="1001"/>
        </w:numPr>
      </w:pPr>
      <w:r>
        <w:rPr>
          <w:i/>
          <w:iCs/>
        </w:rPr>
        <w:t xml:space="preserve">The prophet as speaker</w:t>
      </w:r>
      <w:r>
        <w:t xml:space="preserve">: Many evangelical commentators (including some Reformed) take</w:t>
      </w:r>
      <w:r>
        <w:t xml:space="preserve"> </w:t>
      </w:r>
      <w:r>
        <w:t xml:space="preserve">“me”</w:t>
      </w:r>
      <w:r>
        <w:t xml:space="preserve"> </w:t>
      </w:r>
      <w:r>
        <w:t xml:space="preserve">as Isaiah identifying himself as the commissioned prophet — God has sent him with the Spirit to deliver this message. This is grammatically possible and preserves a clean reading without requiring a sudden Servant appearance.</w:t>
      </w:r>
    </w:p>
    <w:p>
      <w:pPr>
        <w:numPr>
          <w:ilvl w:val="0"/>
          <w:numId w:val="1001"/>
        </w:numPr>
      </w:pPr>
      <w:r>
        <w:rPr>
          <w:i/>
          <w:iCs/>
        </w:rPr>
        <w:t xml:space="preserve">The Servant as speaker</w:t>
      </w:r>
      <w:r>
        <w:t xml:space="preserve">: Childs, Motyer, and others within the Reformed tradition argue that this is an anticipatory intrusion of the Servant, whose voice will dominate chapters 49–55. The abruptness of the first-person shift, the uniquely trinitarian language (</w:t>
      </w:r>
      <w:r>
        <w:t xml:space="preserve">“Lord GOD… me… his Spirit”</w:t>
      </w:r>
      <w:r>
        <w:t xml:space="preserve">), and the way this verse serves as a hinge to the Servant poems makes this a serious candidate. The Reformed reading is not required to adjudicate definitively but should note the Servant reading as significant.</w:t>
      </w:r>
    </w:p>
    <w:p>
      <w:pPr>
        <w:numPr>
          <w:ilvl w:val="0"/>
          <w:numId w:val="1001"/>
        </w:numPr>
      </w:pPr>
      <w:r>
        <w:rPr>
          <w:i/>
          <w:iCs/>
        </w:rPr>
        <w:t xml:space="preserve">Critical-reconstructive approaches</w:t>
      </w:r>
      <w:r>
        <w:t xml:space="preserve">: Some critical scholars treat v. 16b as a gloss or interpolation, solving the textual difficulty by removal. This approach is not available to a grammatical-historical-canonical reading of the text.</w:t>
      </w:r>
    </w:p>
    <w:p>
      <w:pPr>
        <w:pStyle w:val="FirstParagraph"/>
      </w:pPr>
      <w:r>
        <w:rPr>
          <w:b/>
          <w:bCs/>
        </w:rPr>
        <w:t xml:space="preserve">Verdict</w:t>
      </w:r>
      <w:r>
        <w:t xml:space="preserve">: The prophet-as-speaker reading is the least disruptive and accounts for the immediate context. However, the Servant-reading should not be dismissed — it is consistent with the literary structure of Isaiah 40–55, and preachers should note that the trinitarian language here is remarkable regardless of which reading is adopted. Exposition that presses into the</w:t>
      </w:r>
      <w:r>
        <w:t xml:space="preserve"> </w:t>
      </w:r>
      <w:r>
        <w:t xml:space="preserve">“Lord GOD… me… his Spirit”</w:t>
      </w:r>
      <w:r>
        <w:t xml:space="preserve"> </w:t>
      </w:r>
      <w:r>
        <w:t xml:space="preserve">triad will find genuine canonical depth without overcommitting to either identification.</w:t>
      </w:r>
    </w:p>
    <w:p>
      <w:pPr>
        <w:pStyle w:val="BodyText"/>
      </w:pPr>
      <w:r>
        <w:rPr>
          <w:b/>
          <w:bCs/>
        </w:rPr>
        <w:t xml:space="preserve">The scope of verse 22:</w:t>
      </w:r>
      <w:r>
        <w:rPr>
          <w:b/>
          <w:bCs/>
        </w:rPr>
        <w:t xml:space="preserve"> </w:t>
      </w:r>
      <w:r>
        <w:rPr>
          <w:b/>
          <w:bCs/>
        </w:rPr>
        <w:t xml:space="preserve">“No peace for the wicked”</w:t>
      </w:r>
    </w:p>
    <w:p>
      <w:pPr>
        <w:pStyle w:val="BodyText"/>
      </w:pPr>
      <w:r>
        <w:t xml:space="preserve">This closing verse — verbatim with Isaiah 57:21 and echoed in 48:22 — raises questions about its referent. Some traditions (particularly dispensational readings) take</w:t>
      </w:r>
      <w:r>
        <w:t xml:space="preserve"> </w:t>
      </w:r>
      <w:r>
        <w:t xml:space="preserve">“the wicked”</w:t>
      </w:r>
      <w:r>
        <w:t xml:space="preserve"> </w:t>
      </w:r>
      <w:r>
        <w:t xml:space="preserve">as referring primarily to Gentile nations. The context, however, makes clear that</w:t>
      </w:r>
      <w:r>
        <w:t xml:space="preserve"> </w:t>
      </w:r>
      <w:r>
        <w:t xml:space="preserve">“the wicked”</w:t>
      </w:r>
      <w:r>
        <w:t xml:space="preserve"> </w:t>
      </w:r>
      <w:r>
        <w:t xml:space="preserve">here refers to the unrepentant within Israel — those who have heard the summons to leave Babylon and have refused. The exile-within-the-exile (refusing to depart spiritually even when departure is enabled) is precisely what this chapter has been prosecuting. The verse is not a generic pronouncement but a covenantal warning: the deliverance being announced is not available to those who will not leave.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2"/>
        </w:numPr>
      </w:pPr>
      <w:r>
        <w:rPr>
          <w:b/>
          <w:bCs/>
        </w:rPr>
        <w:t xml:space="preserve">Deuteronomy 28:1–2, 15</w:t>
      </w:r>
      <w:r>
        <w:t xml:space="preserve"> </w:t>
      </w:r>
      <w:r>
        <w:t xml:space="preserve">— The conditional structure of covenant blessing and curse underlies Isaiah 48:18’s lament:</w:t>
      </w:r>
      <w:r>
        <w:t xml:space="preserve"> </w:t>
      </w:r>
      <w:r>
        <w:t xml:space="preserve">“Oh that you had paid attention to my commandments!”</w:t>
      </w:r>
      <w:r>
        <w:t xml:space="preserve"> </w:t>
      </w:r>
      <w:r>
        <w:t xml:space="preserve">The loss of peace and prosperity is not arbitrary — it is the covenantal consequence of the disobedience Isaiah 48 is indicting.</w:t>
      </w:r>
    </w:p>
    <w:p>
      <w:pPr>
        <w:numPr>
          <w:ilvl w:val="0"/>
          <w:numId w:val="1002"/>
        </w:numPr>
      </w:pPr>
      <w:r>
        <w:rPr>
          <w:b/>
          <w:bCs/>
        </w:rPr>
        <w:t xml:space="preserve">Romans 9:6–16</w:t>
      </w:r>
      <w:r>
        <w:t xml:space="preserve"> </w:t>
      </w:r>
      <w:r>
        <w:t xml:space="preserve">— Paul’s argument that God’s word has not failed despite Israel’s unbelief directly parallels Isaiah 48’s underlying logic: God’s faithfulness to His promises is not contingent on Israel’s faithfulness. The deliverance announced in Isaiah 48 is grounded in election and God’s name-sake purposes (v. 9–11), not Israel’s merit.</w:t>
      </w:r>
    </w:p>
    <w:p>
      <w:pPr>
        <w:numPr>
          <w:ilvl w:val="0"/>
          <w:numId w:val="1002"/>
        </w:numPr>
      </w:pPr>
      <w:r>
        <w:rPr>
          <w:b/>
          <w:bCs/>
        </w:rPr>
        <w:t xml:space="preserve">Romans 3:23–26</w:t>
      </w:r>
      <w:r>
        <w:t xml:space="preserve"> </w:t>
      </w:r>
      <w:r>
        <w:t xml:space="preserve">— The</w:t>
      </w:r>
      <w:r>
        <w:t xml:space="preserve"> </w:t>
      </w:r>
      <w:r>
        <w:t xml:space="preserve">“for my own name’s sake”</w:t>
      </w:r>
      <w:r>
        <w:t xml:space="preserve"> </w:t>
      </w:r>
      <w:r>
        <w:t xml:space="preserve">rationale for Israel’s deliverance (vv. 9, 11) anticipates Paul’s argument that God’s righteousness is displayed through the act of redemption itself — He is both just and the justifier. God’s refusal to give His glory to another (v. 11) is not mere self-assertion but the theological ground of the gospel.</w:t>
      </w:r>
    </w:p>
    <w:p>
      <w:pPr>
        <w:numPr>
          <w:ilvl w:val="0"/>
          <w:numId w:val="1002"/>
        </w:numPr>
      </w:pPr>
      <w:r>
        <w:rPr>
          <w:b/>
          <w:bCs/>
        </w:rPr>
        <w:t xml:space="preserve">Revelation 18:4</w:t>
      </w:r>
      <w:r>
        <w:t xml:space="preserve"> </w:t>
      </w:r>
      <w:r>
        <w:t xml:space="preserve">—</w:t>
      </w:r>
      <w:r>
        <w:t xml:space="preserve"> </w:t>
      </w:r>
      <w:r>
        <w:t xml:space="preserve">“Come out of her, my people”</w:t>
      </w:r>
      <w:r>
        <w:t xml:space="preserve"> </w:t>
      </w:r>
      <w:r>
        <w:t xml:space="preserve">directly echoes Isaiah 48:20’s</w:t>
      </w:r>
      <w:r>
        <w:t xml:space="preserve"> </w:t>
      </w:r>
      <w:r>
        <w:t xml:space="preserve">“Go out from Babylon, flee from Chaldea!”</w:t>
      </w:r>
      <w:r>
        <w:t xml:space="preserve"> </w:t>
      </w:r>
      <w:r>
        <w:t xml:space="preserve">The Babylon departure in Isaiah 48 is explicitly redeployed in Revelation as a call to spiritual separation from the world-system — confirming that the departure motif carries theological weight beyond its immediate historical referent.</w:t>
      </w:r>
    </w:p>
    <w:p>
      <w:pPr>
        <w:numPr>
          <w:ilvl w:val="0"/>
          <w:numId w:val="1002"/>
        </w:numPr>
      </w:pPr>
      <w:r>
        <w:rPr>
          <w:b/>
          <w:bCs/>
        </w:rPr>
        <w:t xml:space="preserve">John 8:31–36</w:t>
      </w:r>
      <w:r>
        <w:t xml:space="preserve"> </w:t>
      </w:r>
      <w:r>
        <w:t xml:space="preserve">— Jesus’s call to those who</w:t>
      </w:r>
      <w:r>
        <w:t xml:space="preserve"> </w:t>
      </w:r>
      <w:r>
        <w:t xml:space="preserve">“believed”</w:t>
      </w:r>
      <w:r>
        <w:t xml:space="preserve"> </w:t>
      </w:r>
      <w:r>
        <w:t xml:space="preserve">in Him to abide in His word, with the warning that nominal discipleship is slavery, parallels Isaiah 48’s indictment of nominal covenant membership. Genuine departure from Babylon requires genuine hearing of the word.</w:t>
      </w:r>
    </w:p>
    <w:p>
      <w:r>
        <w:pict>
          <v:rect style="width:0;height:1.5pt" o:hralign="center" o:hrstd="t" o:hr="t"/>
        </w:pict>
      </w:r>
    </w:p>
    <w:p>
      <w:pPr>
        <w:pStyle w:val="FirstParagraph"/>
      </w:pPr>
      <w:r>
        <w:rPr>
          <w:b/>
          <w:bCs/>
        </w:rPr>
        <w:t xml:space="preserve">Aim:</w:t>
      </w:r>
      <w:r>
        <w:t xml:space="preserve"> </w:t>
      </w:r>
      <w:r>
        <w:t xml:space="preserve">To confront hearers with the gap between nominal and genuine faith, expose the Babylons they have refused to leave, and press them toward the trust that receives God’s grace with transformed lives rather than merely acknowledged facts.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Address to</w:t>
            </w:r>
            <w:r>
              <w:t xml:space="preserve"> </w:t>
            </w:r>
            <w:r>
              <w:t xml:space="preserve">“house of Jacob”</w:t>
            </w:r>
            <w:r>
              <w:t xml:space="preserve"> </w:t>
            </w:r>
            <w:r>
              <w:t xml:space="preserve">— they invoke the LORD’s name but</w:t>
            </w:r>
            <w:r>
              <w:t xml:space="preserve"> </w:t>
            </w:r>
            <w:r>
              <w:t xml:space="preserve">“not in truth or right”</w:t>
            </w:r>
          </w:p>
        </w:tc>
        <w:tc>
          <w:tcPr/>
          <w:p>
            <w:pPr>
              <w:pStyle w:val="Compact"/>
            </w:pPr>
            <w:r>
              <w:t xml:space="preserve">Establishes the target: covenant people with nominal, hollow worship</w:t>
            </w:r>
          </w:p>
        </w:tc>
      </w:tr>
      <w:tr>
        <w:tc>
          <w:tcPr/>
          <w:p>
            <w:pPr>
              <w:pStyle w:val="Compact"/>
            </w:pPr>
            <w:r>
              <w:t xml:space="preserve">2</w:t>
            </w:r>
          </w:p>
        </w:tc>
        <w:tc>
          <w:tcPr/>
          <w:p>
            <w:pPr>
              <w:pStyle w:val="Compact"/>
            </w:pPr>
            <w:r>
              <w:t xml:space="preserve">They call themselves of the holy city and</w:t>
            </w:r>
            <w:r>
              <w:t xml:space="preserve"> </w:t>
            </w:r>
            <w:r>
              <w:t xml:space="preserve">“lean on the God of Israel”</w:t>
            </w:r>
            <w:r>
              <w:t xml:space="preserve"> </w:t>
            </w:r>
            <w:r>
              <w:t xml:space="preserve">— but the name is not matched by reality</w:t>
            </w:r>
          </w:p>
        </w:tc>
        <w:tc>
          <w:tcPr/>
          <w:p>
            <w:pPr>
              <w:pStyle w:val="Compact"/>
            </w:pPr>
            <w:r>
              <w:t xml:space="preserve">Devastating indictment: religious identity without relational reality</w:t>
            </w:r>
          </w:p>
        </w:tc>
      </w:tr>
      <w:tr>
        <w:tc>
          <w:tcPr/>
          <w:p>
            <w:pPr>
              <w:pStyle w:val="Compact"/>
            </w:pPr>
            <w:r>
              <w:t xml:space="preserve">3</w:t>
            </w:r>
          </w:p>
        </w:tc>
        <w:tc>
          <w:tcPr/>
          <w:p>
            <w:pPr>
              <w:pStyle w:val="Compact"/>
            </w:pPr>
            <w:r>
              <w:t xml:space="preserve">“Former things”</w:t>
            </w:r>
            <w:r>
              <w:t xml:space="preserve"> </w:t>
            </w:r>
            <w:r>
              <w:t xml:space="preserve">declared long ago — they came to pass because the LORD declared them</w:t>
            </w:r>
          </w:p>
        </w:tc>
        <w:tc>
          <w:tcPr/>
          <w:p>
            <w:pPr>
              <w:pStyle w:val="Compact"/>
            </w:pPr>
            <w:r>
              <w:t xml:space="preserve">Apologetic opens: fulfilled prediction establishes divine sovereignty</w:t>
            </w:r>
          </w:p>
        </w:tc>
      </w:tr>
      <w:tr>
        <w:tc>
          <w:tcPr/>
          <w:p>
            <w:pPr>
              <w:pStyle w:val="Compact"/>
            </w:pPr>
            <w:r>
              <w:t xml:space="preserve">4</w:t>
            </w:r>
          </w:p>
        </w:tc>
        <w:tc>
          <w:tcPr/>
          <w:p>
            <w:pPr>
              <w:pStyle w:val="Compact"/>
            </w:pPr>
            <w:r>
              <w:t xml:space="preserve">Because He knew Israel was obstinate — iron sinew, bronze forehead</w:t>
            </w:r>
          </w:p>
        </w:tc>
        <w:tc>
          <w:tcPr/>
          <w:p>
            <w:pPr>
              <w:pStyle w:val="Compact"/>
            </w:pPr>
            <w:r>
              <w:t xml:space="preserve">The prediction was pre-emptive: God knew they would not be moved</w:t>
            </w:r>
          </w:p>
        </w:tc>
      </w:tr>
      <w:tr>
        <w:tc>
          <w:tcPr/>
          <w:p>
            <w:pPr>
              <w:pStyle w:val="Compact"/>
            </w:pPr>
            <w:r>
              <w:t xml:space="preserve">5</w:t>
            </w:r>
          </w:p>
        </w:tc>
        <w:tc>
          <w:tcPr/>
          <w:p>
            <w:pPr>
              <w:pStyle w:val="Compact"/>
            </w:pPr>
            <w:r>
              <w:t xml:space="preserve">Therefore He declared them early — so Israel could not attribute them to idols</w:t>
            </w:r>
          </w:p>
        </w:tc>
        <w:tc>
          <w:tcPr/>
          <w:p>
            <w:pPr>
              <w:pStyle w:val="Compact"/>
            </w:pPr>
            <w:r>
              <w:t xml:space="preserve">Idol-prevention logic: fulfilled prophecy removes any basis for idol credit</w:t>
            </w:r>
          </w:p>
        </w:tc>
      </w:tr>
      <w:tr>
        <w:tc>
          <w:tcPr/>
          <w:p>
            <w:pPr>
              <w:pStyle w:val="Compact"/>
            </w:pPr>
            <w:r>
              <w:t xml:space="preserve">6a</w:t>
            </w:r>
          </w:p>
        </w:tc>
        <w:tc>
          <w:tcPr/>
          <w:p>
            <w:pPr>
              <w:pStyle w:val="Compact"/>
            </w:pPr>
            <w:r>
              <w:t xml:space="preserve">“You have heard; look at all this. And will you not declare it?”</w:t>
            </w:r>
          </w:p>
        </w:tc>
        <w:tc>
          <w:tcPr/>
          <w:p>
            <w:pPr>
              <w:pStyle w:val="Compact"/>
            </w:pPr>
            <w:r>
              <w:t xml:space="preserve">Direct challenge: the evidence is in — the response is required</w:t>
            </w:r>
          </w:p>
        </w:tc>
      </w:tr>
      <w:tr>
        <w:tc>
          <w:tcPr/>
          <w:p>
            <w:pPr>
              <w:pStyle w:val="Compact"/>
            </w:pPr>
            <w:r>
              <w:t xml:space="preserve">6b–7</w:t>
            </w:r>
          </w:p>
        </w:tc>
        <w:tc>
          <w:tcPr/>
          <w:p>
            <w:pPr>
              <w:pStyle w:val="Compact"/>
            </w:pPr>
            <w:r>
              <w:t xml:space="preserve">“New things”</w:t>
            </w:r>
            <w:r>
              <w:t xml:space="preserve"> </w:t>
            </w:r>
            <w:r>
              <w:t xml:space="preserve">now declared — hidden things, created now, not before</w:t>
            </w:r>
          </w:p>
        </w:tc>
        <w:tc>
          <w:tcPr/>
          <w:p>
            <w:pPr>
              <w:pStyle w:val="Compact"/>
            </w:pPr>
            <w:r>
              <w:t xml:space="preserve">Shift to new prophecy: the Cyrus/Babylon deliverance is in this category</w:t>
            </w:r>
          </w:p>
        </w:tc>
      </w:tr>
      <w:tr>
        <w:tc>
          <w:tcPr/>
          <w:p>
            <w:pPr>
              <w:pStyle w:val="Compact"/>
            </w:pPr>
            <w:r>
              <w:t xml:space="preserve">8</w:t>
            </w:r>
          </w:p>
        </w:tc>
        <w:tc>
          <w:tcPr/>
          <w:p>
            <w:pPr>
              <w:pStyle w:val="Compact"/>
            </w:pPr>
            <w:r>
              <w:t xml:space="preserve">Israel has not heard, not known, not listened from of old —</w:t>
            </w:r>
            <w:r>
              <w:t xml:space="preserve"> </w:t>
            </w:r>
            <w:r>
              <w:t xml:space="preserve">“treacherous”</w:t>
            </w:r>
            <w:r>
              <w:t xml:space="preserve"> </w:t>
            </w:r>
            <w:r>
              <w:t xml:space="preserve">from birth</w:t>
            </w:r>
          </w:p>
        </w:tc>
        <w:tc>
          <w:tcPr/>
          <w:p>
            <w:pPr>
              <w:pStyle w:val="Compact"/>
            </w:pPr>
            <w:r>
              <w:t xml:space="preserve">Strongest indictment: the problem is not lack of evidence but entrenched unfaithfulness</w:t>
            </w:r>
          </w:p>
        </w:tc>
      </w:tr>
      <w:tr>
        <w:tc>
          <w:tcPr/>
          <w:p>
            <w:pPr>
              <w:pStyle w:val="Compact"/>
            </w:pPr>
            <w:r>
              <w:t xml:space="preserve">9</w:t>
            </w:r>
          </w:p>
        </w:tc>
        <w:tc>
          <w:tcPr/>
          <w:p>
            <w:pPr>
              <w:pStyle w:val="Compact"/>
            </w:pPr>
            <w:r>
              <w:t xml:space="preserve">“For my name’s sake I defer my anger; for my praise I restrain it for you”</w:t>
            </w:r>
          </w:p>
        </w:tc>
        <w:tc>
          <w:tcPr/>
          <w:p>
            <w:pPr>
              <w:pStyle w:val="Compact"/>
            </w:pPr>
            <w:r>
              <w:t xml:space="preserve">Theological pivot: basis of forbearance is God’s name, not Israel’s merit</w:t>
            </w:r>
          </w:p>
        </w:tc>
      </w:tr>
      <w:tr>
        <w:tc>
          <w:tcPr/>
          <w:p>
            <w:pPr>
              <w:pStyle w:val="Compact"/>
            </w:pPr>
            <w:r>
              <w:t xml:space="preserve">10</w:t>
            </w:r>
          </w:p>
        </w:tc>
        <w:tc>
          <w:tcPr/>
          <w:p>
            <w:pPr>
              <w:pStyle w:val="Compact"/>
            </w:pPr>
            <w:r>
              <w:t xml:space="preserve">Tested but not as silver — refined in the furnace of affliction</w:t>
            </w:r>
          </w:p>
        </w:tc>
        <w:tc>
          <w:tcPr/>
          <w:p>
            <w:pPr>
              <w:pStyle w:val="Compact"/>
            </w:pPr>
            <w:r>
              <w:t xml:space="preserve">The refinement has not produced silver-quality faithfulness; it has produced something less</w:t>
            </w:r>
          </w:p>
        </w:tc>
      </w:tr>
      <w:tr>
        <w:tc>
          <w:tcPr/>
          <w:p>
            <w:pPr>
              <w:pStyle w:val="Compact"/>
            </w:pPr>
            <w:r>
              <w:t xml:space="preserve">11</w:t>
            </w:r>
          </w:p>
        </w:tc>
        <w:tc>
          <w:tcPr/>
          <w:p>
            <w:pPr>
              <w:pStyle w:val="Compact"/>
            </w:pPr>
            <w:r>
              <w:t xml:space="preserve">“For my own sake, for my own sake, I do it”</w:t>
            </w:r>
            <w:r>
              <w:t xml:space="preserve"> </w:t>
            </w:r>
            <w:r>
              <w:t xml:space="preserve">— His glory not given to another</w:t>
            </w:r>
          </w:p>
        </w:tc>
        <w:tc>
          <w:tcPr/>
          <w:p>
            <w:pPr>
              <w:pStyle w:val="Compact"/>
            </w:pPr>
            <w:r>
              <w:t xml:space="preserve">Double repetition: God’s motivation is thoroughly theocentric; this is grace without regard to Israel’s worthiness</w:t>
            </w:r>
          </w:p>
        </w:tc>
      </w:tr>
      <w:tr>
        <w:tc>
          <w:tcPr/>
          <w:p>
            <w:pPr>
              <w:pStyle w:val="Compact"/>
            </w:pPr>
            <w:r>
              <w:t xml:space="preserve">12</w:t>
            </w:r>
          </w:p>
        </w:tc>
        <w:tc>
          <w:tcPr/>
          <w:p>
            <w:pPr>
              <w:pStyle w:val="Compact"/>
            </w:pPr>
            <w:r>
              <w:t xml:space="preserve">“Listen to me, O Jacob… I am he; I am the first, and I am the last”</w:t>
            </w:r>
          </w:p>
        </w:tc>
        <w:tc>
          <w:tcPr/>
          <w:p>
            <w:pPr>
              <w:pStyle w:val="Compact"/>
            </w:pPr>
            <w:r>
              <w:t xml:space="preserve">New section opens; direct divine address with</w:t>
            </w:r>
            <w:r>
              <w:t xml:space="preserve"> </w:t>
            </w:r>
            <w:r>
              <w:t xml:space="preserve">“I am”</w:t>
            </w:r>
            <w:r>
              <w:t xml:space="preserve"> </w:t>
            </w:r>
            <w:r>
              <w:t xml:space="preserve">sovereignty claim</w:t>
            </w:r>
          </w:p>
        </w:tc>
      </w:tr>
      <w:tr>
        <w:tc>
          <w:tcPr/>
          <w:p>
            <w:pPr>
              <w:pStyle w:val="Compact"/>
            </w:pPr>
            <w:r>
              <w:t xml:space="preserve">13</w:t>
            </w:r>
          </w:p>
        </w:tc>
        <w:tc>
          <w:tcPr/>
          <w:p>
            <w:pPr>
              <w:pStyle w:val="Compact"/>
            </w:pPr>
            <w:r>
              <w:t xml:space="preserve">The LORD’s hand laid the foundation of the earth; His right hand spread out the heavens</w:t>
            </w:r>
          </w:p>
        </w:tc>
        <w:tc>
          <w:tcPr/>
          <w:p>
            <w:pPr>
              <w:pStyle w:val="Compact"/>
            </w:pPr>
            <w:r>
              <w:t xml:space="preserve">Creation grounds authority for the following announcement</w:t>
            </w:r>
          </w:p>
        </w:tc>
      </w:tr>
      <w:tr>
        <w:tc>
          <w:tcPr/>
          <w:p>
            <w:pPr>
              <w:pStyle w:val="Compact"/>
            </w:pPr>
            <w:r>
              <w:t xml:space="preserve">14</w:t>
            </w:r>
          </w:p>
        </w:tc>
        <w:tc>
          <w:tcPr/>
          <w:p>
            <w:pPr>
              <w:pStyle w:val="Compact"/>
            </w:pPr>
            <w:r>
              <w:t xml:space="preserve">Assemble and hear — who among the gods has declared this? The LORD has chosen and purposed against Babylon</w:t>
            </w:r>
          </w:p>
        </w:tc>
        <w:tc>
          <w:tcPr/>
          <w:p>
            <w:pPr>
              <w:pStyle w:val="Compact"/>
            </w:pPr>
            <w:r>
              <w:t xml:space="preserve">Rhetorical challenge to idols precedes the Cyrus announcement</w:t>
            </w:r>
          </w:p>
        </w:tc>
      </w:tr>
      <w:tr>
        <w:tc>
          <w:tcPr/>
          <w:p>
            <w:pPr>
              <w:pStyle w:val="Compact"/>
            </w:pPr>
            <w:r>
              <w:t xml:space="preserve">15</w:t>
            </w:r>
          </w:p>
        </w:tc>
        <w:tc>
          <w:tcPr/>
          <w:p>
            <w:pPr>
              <w:pStyle w:val="Compact"/>
            </w:pPr>
            <w:r>
              <w:t xml:space="preserve">“I, even I, have spoken; yes, I have called him; I have brought him, and he will prosper in his way”</w:t>
            </w:r>
          </w:p>
        </w:tc>
        <w:tc>
          <w:tcPr/>
          <w:p>
            <w:pPr>
              <w:pStyle w:val="Compact"/>
            </w:pPr>
            <w:r>
              <w:t xml:space="preserve">Emphatic repetition: threefold</w:t>
            </w:r>
            <w:r>
              <w:t xml:space="preserve"> </w:t>
            </w:r>
            <w:r>
              <w:t xml:space="preserve">“I”</w:t>
            </w:r>
            <w:r>
              <w:t xml:space="preserve"> </w:t>
            </w:r>
            <w:r>
              <w:t xml:space="preserve">— sole divine agency in Cyrus’s mission</w:t>
            </w:r>
          </w:p>
        </w:tc>
      </w:tr>
      <w:tr>
        <w:tc>
          <w:tcPr/>
          <w:p>
            <w:pPr>
              <w:pStyle w:val="Compact"/>
            </w:pPr>
            <w:r>
              <w:t xml:space="preserve">16a</w:t>
            </w:r>
          </w:p>
        </w:tc>
        <w:tc>
          <w:tcPr/>
          <w:p>
            <w:pPr>
              <w:pStyle w:val="Compact"/>
            </w:pPr>
            <w:r>
              <w:t xml:space="preserve">“Draw near to me, hear this: from the beginning I have not spoken in secret”</w:t>
            </w:r>
          </w:p>
        </w:tc>
        <w:tc>
          <w:tcPr/>
          <w:p>
            <w:pPr>
              <w:pStyle w:val="Compact"/>
            </w:pPr>
            <w:r>
              <w:t xml:space="preserve">God’s transparency and consistency in revelation — no new, hidden agenda</w:t>
            </w:r>
          </w:p>
        </w:tc>
      </w:tr>
      <w:tr>
        <w:tc>
          <w:tcPr/>
          <w:p>
            <w:pPr>
              <w:pStyle w:val="Compact"/>
            </w:pPr>
            <w:r>
              <w:t xml:space="preserve">16b</w:t>
            </w:r>
          </w:p>
        </w:tc>
        <w:tc>
          <w:tcPr/>
          <w:p>
            <w:pPr>
              <w:pStyle w:val="Compact"/>
            </w:pPr>
            <w:r>
              <w:t xml:space="preserve">“And now the Lord GOD has sent me, and his Spirit”</w:t>
            </w:r>
          </w:p>
        </w:tc>
        <w:tc>
          <w:tcPr/>
          <w:p>
            <w:pPr>
              <w:pStyle w:val="Compact"/>
            </w:pPr>
            <w:r>
              <w:t xml:space="preserve">Sudden first-person intrusion — prophet or Servant; trinitarian resonance</w:t>
            </w:r>
          </w:p>
        </w:tc>
      </w:tr>
      <w:tr>
        <w:tc>
          <w:tcPr/>
          <w:p>
            <w:pPr>
              <w:pStyle w:val="Compact"/>
            </w:pPr>
            <w:r>
              <w:t xml:space="preserve">17</w:t>
            </w:r>
          </w:p>
        </w:tc>
        <w:tc>
          <w:tcPr/>
          <w:p>
            <w:pPr>
              <w:pStyle w:val="Compact"/>
            </w:pPr>
            <w:r>
              <w:t xml:space="preserve">“I am the LORD your God, who teaches you to profit, who leads you in the way you should go”</w:t>
            </w:r>
          </w:p>
        </w:tc>
        <w:tc>
          <w:tcPr/>
          <w:p>
            <w:pPr>
              <w:pStyle w:val="Compact"/>
            </w:pPr>
            <w:r>
              <w:t xml:space="preserve">Tender self-identification: God as teacher and guide — still addressing wayward Israel</w:t>
            </w:r>
          </w:p>
        </w:tc>
      </w:tr>
      <w:tr>
        <w:tc>
          <w:tcPr/>
          <w:p>
            <w:pPr>
              <w:pStyle w:val="Compact"/>
            </w:pPr>
            <w:r>
              <w:t xml:space="preserve">18</w:t>
            </w:r>
          </w:p>
        </w:tc>
        <w:tc>
          <w:tcPr/>
          <w:p>
            <w:pPr>
              <w:pStyle w:val="Compact"/>
            </w:pPr>
            <w:r>
              <w:t xml:space="preserve">“Oh that you had paid attention to my commandments! Then your peace would have been like a river”</w:t>
            </w:r>
          </w:p>
        </w:tc>
        <w:tc>
          <w:tcPr/>
          <w:p>
            <w:pPr>
              <w:pStyle w:val="Compact"/>
            </w:pPr>
            <w:r>
              <w:t xml:space="preserve">The great lament: unrealized flourishing — what obedience would have produced</w:t>
            </w:r>
          </w:p>
        </w:tc>
      </w:tr>
      <w:tr>
        <w:tc>
          <w:tcPr/>
          <w:p>
            <w:pPr>
              <w:pStyle w:val="Compact"/>
            </w:pPr>
            <w:r>
              <w:t xml:space="preserve">19</w:t>
            </w:r>
          </w:p>
        </w:tc>
        <w:tc>
          <w:tcPr/>
          <w:p>
            <w:pPr>
              <w:pStyle w:val="Compact"/>
            </w:pPr>
            <w:r>
              <w:t xml:space="preserve">Your offspring like sand, your name not cut off — conditional blessing forfeited</w:t>
            </w:r>
          </w:p>
        </w:tc>
        <w:tc>
          <w:tcPr/>
          <w:p>
            <w:pPr>
              <w:pStyle w:val="Compact"/>
            </w:pPr>
            <w:r>
              <w:t xml:space="preserve">The covenant promise of Abraham’s seed, not abolished but forfeited through disobedience</w:t>
            </w:r>
          </w:p>
        </w:tc>
      </w:tr>
      <w:tr>
        <w:tc>
          <w:tcPr/>
          <w:p>
            <w:pPr>
              <w:pStyle w:val="Compact"/>
            </w:pPr>
            <w:r>
              <w:t xml:space="preserve">20</w:t>
            </w:r>
          </w:p>
        </w:tc>
        <w:tc>
          <w:tcPr/>
          <w:p>
            <w:pPr>
              <w:pStyle w:val="Compact"/>
            </w:pPr>
            <w:r>
              <w:t xml:space="preserve">“Go out from Babylon, flee from Chaldea!”</w:t>
            </w:r>
            <w:r>
              <w:t xml:space="preserve"> </w:t>
            </w:r>
            <w:r>
              <w:t xml:space="preserve">— declare with a shout, announce it to the ends of the earth</w:t>
            </w:r>
          </w:p>
        </w:tc>
        <w:tc>
          <w:tcPr/>
          <w:p>
            <w:pPr>
              <w:pStyle w:val="Compact"/>
            </w:pPr>
            <w:r>
              <w:t xml:space="preserve">The urgent departure command; new exodus imagery; evangelistic in scope</w:t>
            </w:r>
          </w:p>
        </w:tc>
      </w:tr>
      <w:tr>
        <w:tc>
          <w:tcPr/>
          <w:p>
            <w:pPr>
              <w:pStyle w:val="Compact"/>
            </w:pPr>
            <w:r>
              <w:t xml:space="preserve">21</w:t>
            </w:r>
          </w:p>
        </w:tc>
        <w:tc>
          <w:tcPr/>
          <w:p>
            <w:pPr>
              <w:pStyle w:val="Compact"/>
            </w:pPr>
            <w:r>
              <w:t xml:space="preserve">They did not thirst when He led them through the deserts; water from the rock</w:t>
            </w:r>
          </w:p>
        </w:tc>
        <w:tc>
          <w:tcPr/>
          <w:p>
            <w:pPr>
              <w:pStyle w:val="Compact"/>
            </w:pPr>
            <w:r>
              <w:t xml:space="preserve">Exodus typology: the new exodus will replicate the first; divine provision guaranteed</w:t>
            </w:r>
          </w:p>
        </w:tc>
      </w:tr>
      <w:tr>
        <w:tc>
          <w:tcPr/>
          <w:p>
            <w:pPr>
              <w:pStyle w:val="Compact"/>
            </w:pPr>
            <w:r>
              <w:t xml:space="preserve">22</w:t>
            </w:r>
          </w:p>
        </w:tc>
        <w:tc>
          <w:tcPr/>
          <w:p>
            <w:pPr>
              <w:pStyle w:val="Compact"/>
            </w:pPr>
            <w:r>
              <w:t xml:space="preserve">“There is no peace, says the LORD, for the wicked”</w:t>
            </w:r>
          </w:p>
        </w:tc>
        <w:tc>
          <w:tcPr/>
          <w:p>
            <w:pPr>
              <w:pStyle w:val="Compact"/>
            </w:pPr>
            <w:r>
              <w:t xml:space="preserve">Covenant warning: the deliverance is real but not available to those who will not depart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Indictment: Covenant Name Without Covenant Reality</w:t>
            </w:r>
          </w:p>
        </w:tc>
      </w:tr>
      <w:tr>
        <w:tc>
          <w:tcPr/>
          <w:p>
            <w:pPr>
              <w:pStyle w:val="Compact"/>
            </w:pPr>
            <w:r>
              <w:t xml:space="preserve">2</w:t>
            </w:r>
          </w:p>
        </w:tc>
        <w:tc>
          <w:tcPr/>
          <w:p>
            <w:pPr>
              <w:pStyle w:val="Compact"/>
            </w:pPr>
            <w:r>
              <w:t xml:space="preserve">3–8</w:t>
            </w:r>
          </w:p>
        </w:tc>
        <w:tc>
          <w:tcPr/>
          <w:p>
            <w:pPr>
              <w:pStyle w:val="Compact"/>
            </w:pPr>
            <w:r>
              <w:t xml:space="preserve">The Prosecution: Fulfilled Prophecy Exposes Hardened Hearts</w:t>
            </w:r>
          </w:p>
        </w:tc>
      </w:tr>
      <w:tr>
        <w:tc>
          <w:tcPr/>
          <w:p>
            <w:pPr>
              <w:pStyle w:val="Compact"/>
            </w:pPr>
            <w:r>
              <w:t xml:space="preserve">3</w:t>
            </w:r>
          </w:p>
        </w:tc>
        <w:tc>
          <w:tcPr/>
          <w:p>
            <w:pPr>
              <w:pStyle w:val="Compact"/>
            </w:pPr>
            <w:r>
              <w:t xml:space="preserve">9–11</w:t>
            </w:r>
          </w:p>
        </w:tc>
        <w:tc>
          <w:tcPr/>
          <w:p>
            <w:pPr>
              <w:pStyle w:val="Compact"/>
            </w:pPr>
            <w:r>
              <w:t xml:space="preserve">The Theological Ground: God Acts for His Own Name’s Sake</w:t>
            </w:r>
          </w:p>
        </w:tc>
      </w:tr>
      <w:tr>
        <w:tc>
          <w:tcPr/>
          <w:p>
            <w:pPr>
              <w:pStyle w:val="Compact"/>
            </w:pPr>
            <w:r>
              <w:t xml:space="preserve">4</w:t>
            </w:r>
          </w:p>
        </w:tc>
        <w:tc>
          <w:tcPr/>
          <w:p>
            <w:pPr>
              <w:pStyle w:val="Compact"/>
            </w:pPr>
            <w:r>
              <w:t xml:space="preserve">12–16</w:t>
            </w:r>
          </w:p>
        </w:tc>
        <w:tc>
          <w:tcPr/>
          <w:p>
            <w:pPr>
              <w:pStyle w:val="Compact"/>
            </w:pPr>
            <w:r>
              <w:t xml:space="preserve">The Declaration: The Sovereign LORD Announces Cyrus and Babylon’s Fall</w:t>
            </w:r>
          </w:p>
        </w:tc>
      </w:tr>
      <w:tr>
        <w:tc>
          <w:tcPr/>
          <w:p>
            <w:pPr>
              <w:pStyle w:val="Compact"/>
            </w:pPr>
            <w:r>
              <w:t xml:space="preserve">5</w:t>
            </w:r>
          </w:p>
        </w:tc>
        <w:tc>
          <w:tcPr/>
          <w:p>
            <w:pPr>
              <w:pStyle w:val="Compact"/>
            </w:pPr>
            <w:r>
              <w:t xml:space="preserve">17–19</w:t>
            </w:r>
          </w:p>
        </w:tc>
        <w:tc>
          <w:tcPr/>
          <w:p>
            <w:pPr>
              <w:pStyle w:val="Compact"/>
            </w:pPr>
            <w:r>
              <w:t xml:space="preserve">The Lament: What Obedience Would Have Produced</w:t>
            </w:r>
          </w:p>
        </w:tc>
      </w:tr>
      <w:tr>
        <w:tc>
          <w:tcPr/>
          <w:p>
            <w:pPr>
              <w:pStyle w:val="Compact"/>
            </w:pPr>
            <w:r>
              <w:t xml:space="preserve">6</w:t>
            </w:r>
          </w:p>
        </w:tc>
        <w:tc>
          <w:tcPr/>
          <w:p>
            <w:pPr>
              <w:pStyle w:val="Compact"/>
            </w:pPr>
            <w:r>
              <w:t xml:space="preserve">20–22</w:t>
            </w:r>
          </w:p>
        </w:tc>
        <w:tc>
          <w:tcPr/>
          <w:p>
            <w:pPr>
              <w:pStyle w:val="Compact"/>
            </w:pPr>
            <w:r>
              <w:t xml:space="preserve">The Summons: Go Out — and the Warning for Those Who Will Not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prosecutes His deaf, stubborn people to break through and produce genuine trust — then announces their undeserved deliverance.</w:t>
      </w:r>
    </w:p>
    <w:p>
      <w:pPr>
        <w:pStyle w:val="BodyText"/>
      </w:pPr>
      <w:r>
        <w:rPr>
          <w:b/>
          <w:bCs/>
        </w:rPr>
        <w:t xml:space="preserve">Primary Claim:</w:t>
      </w:r>
      <w:r>
        <w:t xml:space="preserve"> </w:t>
      </w:r>
      <w:r>
        <w:t xml:space="preserve">God sovereignly exposes the gap between Israel’s nominal profession and genuine trust, then rescues them not because they deserve it but to vindicate His own name — calling them to receive this grace by actually leaving Babylon behind.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whether your Christianity is confessional or actual.</w:t>
      </w:r>
      <w:r>
        <w:t xml:space="preserve"> </w:t>
      </w:r>
      <w:r>
        <w:rPr>
          <w:i/>
          <w:iCs/>
        </w:rPr>
        <w:t xml:space="preserve">(Mind/belief)</w:t>
      </w:r>
      <w:r>
        <w:t xml:space="preserve"> </w:t>
      </w:r>
      <w:r>
        <w:t xml:space="preserve">Israel’s indictment in verses 1–2 is precise: they use all the right language —</w:t>
      </w:r>
      <w:r>
        <w:t xml:space="preserve"> </w:t>
      </w:r>
      <w:r>
        <w:t xml:space="preserve">“the LORD,”</w:t>
      </w:r>
      <w:r>
        <w:t xml:space="preserve"> </w:t>
      </w:r>
      <w:r>
        <w:t xml:space="preserve">“the God of Israel,”</w:t>
      </w:r>
      <w:r>
        <w:t xml:space="preserve"> </w:t>
      </w:r>
      <w:r>
        <w:t xml:space="preserve">“the holy city”</w:t>
      </w:r>
      <w:r>
        <w:t xml:space="preserve"> </w:t>
      </w:r>
      <w:r>
        <w:t xml:space="preserve">— but not</w:t>
      </w:r>
      <w:r>
        <w:t xml:space="preserve"> </w:t>
      </w:r>
      <w:r>
        <w:t xml:space="preserve">“in truth or right.”</w:t>
      </w:r>
      <w:r>
        <w:t xml:space="preserve"> </w:t>
      </w:r>
      <w:r>
        <w:t xml:space="preserve">This is not a pagan’s problem; it is the covenant community’s problem. The application is not primarily to unbelievers but to church members. The pressing question is not</w:t>
      </w:r>
      <w:r>
        <w:t xml:space="preserve"> </w:t>
      </w:r>
      <w:r>
        <w:t xml:space="preserve">“Do I believe in God?”</w:t>
      </w:r>
      <w:r>
        <w:t xml:space="preserve"> </w:t>
      </w:r>
      <w:r>
        <w:t xml:space="preserve">but</w:t>
      </w:r>
      <w:r>
        <w:t xml:space="preserve"> </w:t>
      </w:r>
      <w:r>
        <w:t xml:space="preserve">“Is my stated allegiance to God matched by the actual orientation of my trust, my attention, and my obedience?”</w:t>
      </w:r>
      <w:r>
        <w:t xml:space="preserve"> </w:t>
      </w:r>
      <w:r>
        <w:t xml:space="preserve">The gap Isaiah 48 exposes is the gap between religious vocabulary and transformed life. Sit with that gap before you proceed.</w:t>
      </w:r>
    </w:p>
    <w:p>
      <w:pPr>
        <w:pStyle w:val="BodyText"/>
      </w:pPr>
      <w:r>
        <w:rPr>
          <w:b/>
          <w:bCs/>
        </w:rPr>
        <w:t xml:space="preserve">2. Receive God’s continuing patience as evidence of grace, not permission to continue.</w:t>
      </w:r>
      <w:r>
        <w:t xml:space="preserve"> </w:t>
      </w:r>
      <w:r>
        <w:rPr>
          <w:i/>
          <w:iCs/>
        </w:rPr>
        <w:t xml:space="preserve">(Affections/worship)</w:t>
      </w:r>
      <w:r>
        <w:t xml:space="preserve"> </w:t>
      </w:r>
      <w:r>
        <w:t xml:space="preserve">Verses 9–11 are among the most humbling in Isaiah: God has been deferring His anger</w:t>
      </w:r>
      <w:r>
        <w:t xml:space="preserve"> </w:t>
      </w:r>
      <w:r>
        <w:t xml:space="preserve">“for His name’s sake,”</w:t>
      </w:r>
      <w:r>
        <w:t xml:space="preserve"> </w:t>
      </w:r>
      <w:r>
        <w:t xml:space="preserve">not because Israel has earned patience. The emotional response this should produce is not relief but undone-ness — the realization that continued existence in God’s blessing is not a sign of adequacy but a sign of His inexhaustible commitment to His own glory and His people’s redemption. Worship that grasps this is not casual. It produces the kind of grief and gratitude that the passage’s great lament (v. 18) is designed to evoke:</w:t>
      </w:r>
      <w:r>
        <w:t xml:space="preserve"> </w:t>
      </w:r>
      <w:r>
        <w:t xml:space="preserve">“This is what I forfeited, and He is still calling me.”</w:t>
      </w:r>
    </w:p>
    <w:p>
      <w:pPr>
        <w:pStyle w:val="BodyText"/>
      </w:pPr>
      <w:r>
        <w:rPr>
          <w:b/>
          <w:bCs/>
        </w:rPr>
        <w:t xml:space="preserve">3. Identify your Babylon and make a concrete plan to leave it.</w:t>
      </w:r>
      <w:r>
        <w:t xml:space="preserve"> </w:t>
      </w:r>
      <w:r>
        <w:rPr>
          <w:i/>
          <w:iCs/>
        </w:rPr>
        <w:t xml:space="preserve">(Will/behavior)</w:t>
      </w:r>
      <w:r>
        <w:t xml:space="preserve"> </w:t>
      </w:r>
      <w:r>
        <w:t xml:space="preserve">The command in verse 20 is physical and urgent —</w:t>
      </w:r>
      <w:r>
        <w:t xml:space="preserve"> </w:t>
      </w:r>
      <w:r>
        <w:t xml:space="preserve">“Go out… flee… with a voice of singing, declare this.”</w:t>
      </w:r>
      <w:r>
        <w:t xml:space="preserve"> </w:t>
      </w:r>
      <w:r>
        <w:t xml:space="preserve">But the history of this text (confirmed by Revelation 18:4’s redeployment of it) makes clear that Babylon is not only a city — it is a system of allegiance, comfort, and identity built around something other than the LORD. For the hearer, the question is concrete: What is the Babylon you have remained in because leaving it feels too costly? What specific loyalty, relationship, financial structure, vocational arrangement, or consuming identity have you refused to depart? This is not an abstract application — name the city and set a departure date.</w:t>
      </w:r>
    </w:p>
    <w:p>
      <w:pPr>
        <w:pStyle w:val="BodyText"/>
      </w:pPr>
      <w:r>
        <w:rPr>
          <w:b/>
          <w:bCs/>
        </w:rPr>
        <w:t xml:space="preserve">4. Let the lament of verse 18 do its work — grieve the flourishing you forfeited through disobedience.</w:t>
      </w:r>
      <w:r>
        <w:t xml:space="preserve"> </w:t>
      </w:r>
      <w:r>
        <w:rPr>
          <w:i/>
          <w:iCs/>
        </w:rPr>
        <w:t xml:space="preserve">(Affections/worship)</w:t>
      </w:r>
      <w:r>
        <w:t xml:space="preserve"> </w:t>
      </w:r>
      <w:r>
        <w:t xml:space="preserve">“Oh that you had paid attention to my commandments! Then your peace would have been like a river, your righteousness like the waves of the sea.”</w:t>
      </w:r>
      <w:r>
        <w:t xml:space="preserve"> </w:t>
      </w:r>
      <w:r>
        <w:t xml:space="preserve">This is God grieving on behalf of His people over the life they chose not to live. A genuine response to this verse is not strategic (</w:t>
      </w:r>
      <w:r>
        <w:t xml:space="preserve">“how do I get that river-peace now?”</w:t>
      </w:r>
      <w:r>
        <w:t xml:space="preserve">) but mournful — an honest reckoning with the distance between what disobedience has cost and what faithfulness would have produced. This grief is not destructive; it is productive — it produces the repentance that positions us to receive the grace being announced. Don’t skip past the lament to get to the departure command.</w:t>
      </w:r>
    </w:p>
    <w:p>
      <w:pPr>
        <w:pStyle w:val="BodyText"/>
      </w:pPr>
      <w:r>
        <w:rPr>
          <w:b/>
          <w:bCs/>
        </w:rPr>
        <w:t xml:space="preserve">5. Declare the deliverance to the ends of the earth.</w:t>
      </w:r>
      <w:r>
        <w:t xml:space="preserve"> </w:t>
      </w:r>
      <w:r>
        <w:rPr>
          <w:i/>
          <w:iCs/>
        </w:rPr>
        <w:t xml:space="preserve">(Will/behavior)</w:t>
      </w:r>
      <w:r>
        <w:t xml:space="preserve"> </w:t>
      </w:r>
      <w:r>
        <w:t xml:space="preserve">Verse 20 is not only an individual departure command — it is an evangelistic mandate:</w:t>
      </w:r>
      <w:r>
        <w:t xml:space="preserve"> </w:t>
      </w:r>
      <w:r>
        <w:t xml:space="preserve">“Declare this with a shout of joy, proclaim it, send it out to the end of the earth.”</w:t>
      </w:r>
      <w:r>
        <w:t xml:space="preserve"> </w:t>
      </w:r>
      <w:r>
        <w:t xml:space="preserve">The new exodus God is announcing is not a private religious experience. Those who have been brought out of Babylon are sent with the news. The specific application is: the grace you have received — rescue you did not deserve, based on God’s name and not your merit — is exactly the kind of news that cannot be hoarded. Identify one person in your life who is still in Babylon and tell them what you have seen.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48 is a decisive passage for understanding the relationship between God’s glory and His grace. The passage makes explicit what is always theologically true but rarely stated so bluntly: God’s motivation for rescuing faithless, stubborn Israel is not their improvement, their repentance, or their merit — it is His own name (vv. 9, 11). This is not divine narcissism; it is the theological ground that makes the gospel possible. If God’s saving purposes were conditioned on human faithfulness, they would fail — not because humans are weak but because they are treacherous (v. 8). The doctrine of divine election and perseverance is grounded precisely here: God’s commitment to complete what He has begun rests on His own character, not on the creature’s cooperation. Additionally, the passage’s creation-sovereignty language (vv. 12–13) grounds the coming deliverance in the same divine authority that spoke the world into existence — the God who commands Cyrus is the same God who laid the foundations of the earth.</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48 is a pillar text for the Reformed understanding of grace as grounded in God’s sovereign purpose rather than human response. The</w:t>
      </w:r>
      <w:r>
        <w:t xml:space="preserve"> </w:t>
      </w:r>
      <w:r>
        <w:t xml:space="preserve">“for my own sake”</w:t>
      </w:r>
      <w:r>
        <w:t xml:space="preserve"> </w:t>
      </w:r>
      <w:r>
        <w:t xml:space="preserve">logic of verses 9–11 directly parallels Paul’s election argument in Romans 9 and the doctrine of unconditional election in the Westminster Standards. Israel did not become more faithful in exile; God’s decision to deliver them was not conditioned on their improvement. This passage also provides canonical grounding for the Reformed emphasis on the total pervasiveness of sin — not as absence of religious activity but as</w:t>
      </w:r>
      <w:r>
        <w:t xml:space="preserve"> </w:t>
      </w:r>
      <w:r>
        <w:t xml:space="preserve">“obstinacy”</w:t>
      </w:r>
      <w:r>
        <w:t xml:space="preserve"> </w:t>
      </w:r>
      <w:r>
        <w:t xml:space="preserve">(v. 4),</w:t>
      </w:r>
      <w:r>
        <w:t xml:space="preserve"> </w:t>
      </w:r>
      <w:r>
        <w:t xml:space="preserve">“treachery”</w:t>
      </w:r>
      <w:r>
        <w:t xml:space="preserve"> </w:t>
      </w:r>
      <w:r>
        <w:t xml:space="preserve">(v. 8), and religious language without religious reality (vv. 1–2). The Reformation’s central insight — that sinful humanity brings nothing to its own salvation — is displayed here in the specific form of a covenant people whose worship is real in form but hollow in substance. Finally, the departure command (</w:t>
      </w:r>
      <w:r>
        <w:t xml:space="preserve">“Go out from Babylon”</w:t>
      </w:r>
      <w:r>
        <w:t xml:space="preserve">) functions as a paradigmatic image of what justification and sanctification together require: not merely being declared free but actually departing from what enslaved you — confirming the Reformed insistence that genuine faith always produces the fruit of genuine departure.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have been hearing about God for years — using His name, attending His gatherings, invoking His promises — but there is a Babylon you have never left. The LORD is not fooled by the vocabulary, and He is not waiting for you to earn the rescue: He has already announced it, for His own name’s sake and not for yours. The only question is whether you will go out with a shout, or stay in the city.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3"/>
        </w:numPr>
      </w:pPr>
      <w:r>
        <w:rPr>
          <w:b/>
          <w:bCs/>
        </w:rPr>
        <w:t xml:space="preserve">Treating the prediction-fulfillment argument as primarily apologetic rather than covenantal indictment.</w:t>
      </w:r>
      <w:r>
        <w:t xml:space="preserve"> </w:t>
      </w:r>
      <w:r>
        <w:t xml:space="preserve">The most common mishandling of verses 3–8 is to deploy them as evidence for biblical inerrancy or as proof against ancient Near Eastern religion — both legitimate but secondary concerns. The text’s argument is aimed at Israel’s heart, not Babylon’s theology. Preaching that spends the opening section building a case for predictive prophecy has missed the passage’s intent: the evidence has been in for a long time, and the indictment is that Israel remains unmoved by it.</w:t>
      </w:r>
    </w:p>
    <w:p>
      <w:pPr>
        <w:numPr>
          <w:ilvl w:val="0"/>
          <w:numId w:val="1003"/>
        </w:numPr>
      </w:pPr>
      <w:r>
        <w:rPr>
          <w:b/>
          <w:bCs/>
        </w:rPr>
        <w:t xml:space="preserve">Softening the indictment of nominal religion.</w:t>
      </w:r>
      <w:r>
        <w:t xml:space="preserve"> </w:t>
      </w:r>
      <w:r>
        <w:t xml:space="preserve">Verses 1–2 are among the most uncomfortable in Isaiah precisely because their target is the church — people who carry the right names and use the right language. A sermon that rushes past this indictment toward the comfort of the deliverance announcement has protected the congregation from the passage’s most penetrating work. The text is designed to produce self-examination before it produces reassurance.</w:t>
      </w:r>
    </w:p>
    <w:p>
      <w:pPr>
        <w:numPr>
          <w:ilvl w:val="0"/>
          <w:numId w:val="1003"/>
        </w:numPr>
      </w:pPr>
      <w:r>
        <w:rPr>
          <w:b/>
          <w:bCs/>
        </w:rPr>
        <w:t xml:space="preserve">Spiritualizing the Babylon departure without concreteness.</w:t>
      </w:r>
      <w:r>
        <w:t xml:space="preserve"> </w:t>
      </w:r>
      <w:r>
        <w:t xml:space="preserve">“Leave Babylon”</w:t>
      </w:r>
      <w:r>
        <w:t xml:space="preserve"> </w:t>
      </w:r>
      <w:r>
        <w:t xml:space="preserve">is a vivid, urgent, physical command that has been so thoroughly spiritualized in Christian preaching that it has lost its bite. Application must not remain at the level of metaphor (</w:t>
      </w:r>
      <w:r>
        <w:t xml:space="preserve">“we should leave worldliness behind”</w:t>
      </w:r>
      <w:r>
        <w:t xml:space="preserve">). The application must press toward the specific — what, concretely, is this person’s Babylon? Revelation 18:4’s use of the passage confirms the spiritual application is valid; it does not confirm that vagueness is acceptable.</w:t>
      </w:r>
    </w:p>
    <w:p>
      <w:pPr>
        <w:numPr>
          <w:ilvl w:val="0"/>
          <w:numId w:val="1003"/>
        </w:numPr>
      </w:pPr>
      <w:r>
        <w:rPr>
          <w:b/>
          <w:bCs/>
        </w:rPr>
        <w:t xml:space="preserve">Preaching verse 18’s lament as only a motivational device.</w:t>
      </w:r>
      <w:r>
        <w:t xml:space="preserve"> </w:t>
      </w:r>
      <w:r>
        <w:t xml:space="preserve">“Oh that you had paid attention…”</w:t>
      </w:r>
      <w:r>
        <w:t xml:space="preserve"> </w:t>
      </w:r>
      <w:r>
        <w:t xml:space="preserve">is sometimes treated as a rhetorical warm-up for the departure command — God grieving briefly before getting to the good news. This underreads the verse. The lament is part of the passage’s intent: God intends for Israel (and the hearer) to genuinely grieve the forfeited flourishing. Exposition should allow that grief to land before it moves on.</w:t>
      </w:r>
    </w:p>
    <w:p>
      <w:pPr>
        <w:numPr>
          <w:ilvl w:val="0"/>
          <w:numId w:val="1003"/>
        </w:numPr>
      </w:pPr>
      <w:r>
        <w:rPr>
          <w:b/>
          <w:bCs/>
        </w:rPr>
        <w:t xml:space="preserve">Resolving the verse 16b ambiguity too quickly or ignoring it entirely.</w:t>
      </w:r>
      <w:r>
        <w:t xml:space="preserve"> </w:t>
      </w:r>
      <w:r>
        <w:t xml:space="preserve">Neither extreme serves the congregation well. Dismissing the</w:t>
      </w:r>
      <w:r>
        <w:t xml:space="preserve"> </w:t>
      </w:r>
      <w:r>
        <w:t xml:space="preserve">“sent me”</w:t>
      </w:r>
      <w:r>
        <w:t xml:space="preserve"> </w:t>
      </w:r>
      <w:r>
        <w:t xml:space="preserve">as a simple prophetic self-reference eliminates the trinitarian resonance that the text actually carries. Overidentifying it as a full Servant appearance reads more certainty into the grammar than the text supports. The most honest exposition notes the ambiguity, explores the trinitarian language (</w:t>
      </w:r>
      <w:r>
        <w:t xml:space="preserve">“Lord GOD… me… his Spirit”</w:t>
      </w:r>
      <w:r>
        <w:t xml:space="preserve">), and presses into what it means that a figure is being</w:t>
      </w:r>
      <w:r>
        <w:t xml:space="preserve"> </w:t>
      </w:r>
      <w:r>
        <w:t xml:space="preserve">“sent”</w:t>
      </w:r>
      <w:r>
        <w:t xml:space="preserve"> </w:t>
      </w:r>
      <w:r>
        <w:t xml:space="preserve">in this mission — whether prophet or Servant, the divine commissioning pattern matters.</w:t>
      </w:r>
    </w:p>
    <w:p>
      <w:pPr>
        <w:numPr>
          <w:ilvl w:val="0"/>
          <w:numId w:val="1003"/>
        </w:numPr>
      </w:pPr>
      <w:r>
        <w:rPr>
          <w:b/>
          <w:bCs/>
        </w:rPr>
        <w:t xml:space="preserve">Detaching verse 22 from its context as a general proverb.</w:t>
      </w:r>
      <w:r>
        <w:t xml:space="preserve"> </w:t>
      </w:r>
      <w:r>
        <w:t xml:space="preserve">“No peace for the wicked”</w:t>
      </w:r>
      <w:r>
        <w:t xml:space="preserve"> </w:t>
      </w:r>
      <w:r>
        <w:t xml:space="preserve">is not a free-floating wisdom saying. In context,</w:t>
      </w:r>
      <w:r>
        <w:t xml:space="preserve"> </w:t>
      </w:r>
      <w:r>
        <w:t xml:space="preserve">“the wicked”</w:t>
      </w:r>
      <w:r>
        <w:t xml:space="preserve"> </w:t>
      </w:r>
      <w:r>
        <w:t xml:space="preserve">are specifically those within the covenant community who have heard the summons to depart from Babylon and have refused. Preaching that treats this verse as a generalized statement about unbelievers misses its pointed, covenantal application to nominal believers — and defangs the warning precisely where it needs to bite hardest.</w:t>
      </w:r>
    </w:p>
    <w:p>
      <w:r>
        <w:pict>
          <v:rect style="width:0;height:1.5pt" o:hralign="center" o:hrstd="t" o:hr="t"/>
        </w:pict>
      </w:r>
    </w:p>
    <w:p>
      <w:pPr>
        <w:pStyle w:val="FirstParagraph"/>
      </w:pPr>
      <w:r>
        <w:rPr>
          <w:i/>
          <w:iCs/>
        </w:rPr>
        <w:t xml:space="preserve">Document: 23 Isaiah 48.docx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2026-07-14T21:05:45Z</dcterms:created>
  <dcterms:modified xsi:type="dcterms:W3CDTF">2026-07-14T21:05:45Z</dcterms:modified>
</cp:coreProperties>
</file>

<file path=docProps/custom.xml><?xml version="1.0" encoding="utf-8"?>
<Properties xmlns="http://schemas.openxmlformats.org/officeDocument/2006/custom-properties" xmlns:vt="http://schemas.openxmlformats.org/officeDocument/2006/docPropsVTypes"/>
</file>